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3AF4" w14:textId="1ABA23FF" w:rsidR="00E776AA" w:rsidRDefault="00E776AA" w:rsidP="00A0471C">
      <w:pPr>
        <w:spacing w:line="240" w:lineRule="auto"/>
      </w:pPr>
      <w:r>
        <w:rPr>
          <w:noProof/>
        </w:rPr>
        <w:drawing>
          <wp:anchor distT="0" distB="0" distL="114300" distR="114300" simplePos="0" relativeHeight="251658240" behindDoc="0" locked="0" layoutInCell="1" allowOverlap="1" wp14:anchorId="1105188B" wp14:editId="7203A262">
            <wp:simplePos x="0" y="0"/>
            <wp:positionH relativeFrom="margin">
              <wp:align>center</wp:align>
            </wp:positionH>
            <wp:positionV relativeFrom="paragraph">
              <wp:posOffset>-700405</wp:posOffset>
            </wp:positionV>
            <wp:extent cx="2331720" cy="92073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720" cy="920730"/>
                    </a:xfrm>
                    <a:prstGeom prst="rect">
                      <a:avLst/>
                    </a:prstGeom>
                  </pic:spPr>
                </pic:pic>
              </a:graphicData>
            </a:graphic>
            <wp14:sizeRelH relativeFrom="margin">
              <wp14:pctWidth>0</wp14:pctWidth>
            </wp14:sizeRelH>
            <wp14:sizeRelV relativeFrom="margin">
              <wp14:pctHeight>0</wp14:pctHeight>
            </wp14:sizeRelV>
          </wp:anchor>
        </w:drawing>
      </w:r>
    </w:p>
    <w:p w14:paraId="11414BC9" w14:textId="2D72D413" w:rsidR="009C4B3D" w:rsidRPr="00ED106F" w:rsidRDefault="009B5834" w:rsidP="00A0471C">
      <w:pPr>
        <w:spacing w:line="240" w:lineRule="auto"/>
        <w:jc w:val="center"/>
        <w:rPr>
          <w:rFonts w:ascii="Tahoma" w:hAnsi="Tahoma" w:cs="Tahoma"/>
          <w:b/>
          <w:bCs/>
          <w:sz w:val="24"/>
          <w:szCs w:val="24"/>
          <w:u w:val="single"/>
        </w:rPr>
      </w:pPr>
      <w:r>
        <w:rPr>
          <w:rFonts w:ascii="Tahoma" w:hAnsi="Tahoma" w:cs="Tahoma"/>
          <w:b/>
          <w:bCs/>
          <w:sz w:val="24"/>
          <w:szCs w:val="24"/>
          <w:u w:val="single"/>
        </w:rPr>
        <w:t xml:space="preserve">Quick Reference Glossary </w:t>
      </w:r>
      <w:r w:rsidR="00E776AA" w:rsidRPr="00ED106F">
        <w:rPr>
          <w:rFonts w:ascii="Tahoma" w:hAnsi="Tahoma" w:cs="Tahoma"/>
          <w:b/>
          <w:bCs/>
          <w:sz w:val="24"/>
          <w:szCs w:val="24"/>
          <w:u w:val="single"/>
        </w:rPr>
        <w:t>Diversity, Equity &amp; Inclusion Terms</w:t>
      </w:r>
    </w:p>
    <w:p w14:paraId="58CDBDD2" w14:textId="377AA559"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Diversity</w:t>
      </w:r>
      <w:r w:rsidRPr="00ED106F">
        <w:rPr>
          <w:rFonts w:ascii="Tahoma" w:hAnsi="Tahoma" w:cs="Tahoma"/>
          <w:sz w:val="20"/>
          <w:szCs w:val="20"/>
        </w:rPr>
        <w:t>: The wide variety of shared and different personal and group characteristics among human beings.</w:t>
      </w:r>
    </w:p>
    <w:p w14:paraId="357192E9" w14:textId="50EE735F"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Equity</w:t>
      </w:r>
      <w:r w:rsidRPr="00ED106F">
        <w:rPr>
          <w:rFonts w:ascii="Tahoma" w:hAnsi="Tahoma" w:cs="Tahoma"/>
          <w:sz w:val="20"/>
          <w:szCs w:val="20"/>
        </w:rPr>
        <w:t>: Takes into consideration the fact that the social identifiers (race, gender, socioeconomic status, etc.) do, in fact, affect equality. In an equitable environment, an individual or a group would be given what was needed to give them equal advantage. This would not necessarily be equal to what others were receiving. It could be more or different. Equity is an ideal and a goal, not a process. It ensures that everyone has the resources they need to succeed.</w:t>
      </w:r>
    </w:p>
    <w:p w14:paraId="4880D2FD" w14:textId="6D5A94CD" w:rsidR="00E776AA" w:rsidRPr="00ED106F" w:rsidRDefault="00E776AA" w:rsidP="00A0471C">
      <w:pPr>
        <w:spacing w:line="240" w:lineRule="auto"/>
        <w:rPr>
          <w:rFonts w:ascii="Tahoma" w:hAnsi="Tahoma" w:cs="Tahoma"/>
          <w:sz w:val="20"/>
          <w:szCs w:val="20"/>
        </w:rPr>
      </w:pPr>
      <w:r w:rsidRPr="00A0471C">
        <w:rPr>
          <w:rFonts w:ascii="Tahoma" w:hAnsi="Tahoma" w:cs="Tahoma"/>
          <w:i/>
          <w:iCs/>
          <w:sz w:val="20"/>
          <w:szCs w:val="20"/>
        </w:rPr>
        <w:t>Inclusion</w:t>
      </w:r>
      <w:r w:rsidRPr="00ED106F">
        <w:rPr>
          <w:rFonts w:ascii="Tahoma" w:hAnsi="Tahoma" w:cs="Tahoma"/>
          <w:sz w:val="20"/>
          <w:szCs w:val="20"/>
        </w:rPr>
        <w:t xml:space="preserve">: Authentically bringing traditionally excluded individuals and/or groups into processes, activities, and decision/policy making in a way that shares power. </w:t>
      </w:r>
      <w:r w:rsidR="00276BED">
        <w:rPr>
          <w:rFonts w:ascii="Tahoma" w:hAnsi="Tahoma" w:cs="Tahoma"/>
          <w:sz w:val="20"/>
          <w:szCs w:val="20"/>
        </w:rPr>
        <w:t xml:space="preserve"> </w:t>
      </w:r>
    </w:p>
    <w:p w14:paraId="3B0358B3" w14:textId="5F3FF5BE" w:rsidR="00E776AA" w:rsidRDefault="00E776AA" w:rsidP="00A0471C">
      <w:pPr>
        <w:spacing w:line="240" w:lineRule="auto"/>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33C3561D" wp14:editId="417A1DA7">
                <wp:simplePos x="0" y="0"/>
                <wp:positionH relativeFrom="margin">
                  <wp:align>center</wp:align>
                </wp:positionH>
                <wp:positionV relativeFrom="paragraph">
                  <wp:posOffset>29845</wp:posOffset>
                </wp:positionV>
                <wp:extent cx="64008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3DA73"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" strokecolor="#4472c4 [3204]" strokeweight=".5pt">
                <v:stroke joinstyle="miter"/>
                <w10:wrap anchorx="margin"/>
              </v:line>
            </w:pict>
          </mc:Fallback>
        </mc:AlternateContent>
      </w:r>
    </w:p>
    <w:p w14:paraId="4009B97C" w14:textId="112B08F5" w:rsidR="00E776AA" w:rsidRDefault="00E776AA" w:rsidP="00A0471C">
      <w:pPr>
        <w:spacing w:line="240" w:lineRule="auto"/>
        <w:rPr>
          <w:rFonts w:ascii="Tahoma" w:hAnsi="Tahoma" w:cs="Tahoma"/>
        </w:rPr>
        <w:sectPr w:rsidR="00E776AA">
          <w:footerReference w:type="default" r:id="rId7"/>
          <w:pgSz w:w="12240" w:h="15840"/>
          <w:pgMar w:top="1440" w:right="1440" w:bottom="1440" w:left="1440" w:header="720" w:footer="720" w:gutter="0"/>
          <w:cols w:space="720"/>
          <w:docGrid w:linePitch="360"/>
        </w:sectPr>
      </w:pPr>
    </w:p>
    <w:p w14:paraId="470BB6BB" w14:textId="158117E1" w:rsidR="00E776AA" w:rsidRPr="009B5834" w:rsidRDefault="00E776AA" w:rsidP="00A0471C">
      <w:pPr>
        <w:spacing w:line="240" w:lineRule="auto"/>
        <w:rPr>
          <w:rFonts w:ascii="Tahoma" w:hAnsi="Tahoma" w:cs="Tahoma"/>
          <w:b/>
          <w:bCs/>
        </w:rPr>
      </w:pPr>
      <w:r w:rsidRPr="009B5834">
        <w:rPr>
          <w:rFonts w:ascii="Tahoma" w:hAnsi="Tahoma" w:cs="Tahoma"/>
          <w:b/>
          <w:bCs/>
        </w:rPr>
        <w:t>A</w:t>
      </w:r>
    </w:p>
    <w:p w14:paraId="74809AB1" w14:textId="7B630E5C"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Accessibility</w:t>
      </w:r>
      <w:r w:rsidR="00021C22" w:rsidRPr="009B5834">
        <w:rPr>
          <w:rFonts w:ascii="Tahoma" w:hAnsi="Tahoma" w:cs="Tahoma"/>
          <w:sz w:val="18"/>
          <w:szCs w:val="18"/>
        </w:rPr>
        <w:t xml:space="preserve"> – The extent to which a facility is readily approachable and usable by individuals with disabilities</w:t>
      </w:r>
    </w:p>
    <w:p w14:paraId="342FE38E" w14:textId="3E95065B"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Ally</w:t>
      </w:r>
      <w:r w:rsidR="00021C22" w:rsidRPr="009B5834">
        <w:rPr>
          <w:rFonts w:ascii="Tahoma" w:hAnsi="Tahoma" w:cs="Tahoma"/>
          <w:i/>
          <w:iCs/>
          <w:sz w:val="18"/>
          <w:szCs w:val="18"/>
        </w:rPr>
        <w:t xml:space="preserve"> – </w:t>
      </w:r>
      <w:r w:rsidR="00021C22" w:rsidRPr="009B5834">
        <w:rPr>
          <w:rFonts w:ascii="Tahoma" w:hAnsi="Tahoma" w:cs="Tahoma"/>
          <w:sz w:val="18"/>
          <w:szCs w:val="18"/>
        </w:rPr>
        <w:t>A person of one social identity group who stands up in support of members of another group</w:t>
      </w:r>
    </w:p>
    <w:p w14:paraId="2D1AE4B8" w14:textId="2FFFC38F"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Anti-Racis</w:t>
      </w:r>
      <w:r w:rsidR="00021C22" w:rsidRPr="009B5834">
        <w:rPr>
          <w:rFonts w:ascii="Tahoma" w:hAnsi="Tahoma" w:cs="Tahoma"/>
          <w:i/>
          <w:iCs/>
          <w:sz w:val="18"/>
          <w:szCs w:val="18"/>
        </w:rPr>
        <w:t xml:space="preserve">m – </w:t>
      </w:r>
      <w:r w:rsidR="00021C22" w:rsidRPr="009B5834">
        <w:rPr>
          <w:rFonts w:ascii="Tahoma" w:hAnsi="Tahoma" w:cs="Tahoma"/>
          <w:sz w:val="18"/>
          <w:szCs w:val="18"/>
        </w:rPr>
        <w:t>Being critically aware of the existence of racism and understanding how it is systemic and the policy or practice of opposing racism and promoting racial tolerance.</w:t>
      </w:r>
    </w:p>
    <w:p w14:paraId="68DDFF25" w14:textId="7CAA0F02" w:rsidR="00E776AA" w:rsidRPr="009B5834" w:rsidRDefault="00E776AA" w:rsidP="00A0471C">
      <w:pPr>
        <w:spacing w:line="240" w:lineRule="auto"/>
        <w:rPr>
          <w:rFonts w:ascii="Tahoma" w:hAnsi="Tahoma" w:cs="Tahoma"/>
          <w:sz w:val="18"/>
          <w:szCs w:val="18"/>
        </w:rPr>
      </w:pPr>
      <w:r w:rsidRPr="009B5834">
        <w:rPr>
          <w:rFonts w:ascii="Tahoma" w:hAnsi="Tahoma" w:cs="Tahoma"/>
          <w:b/>
          <w:bCs/>
        </w:rPr>
        <w:t>B</w:t>
      </w:r>
    </w:p>
    <w:p w14:paraId="230EC028" w14:textId="717658CC"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Bias</w:t>
      </w:r>
      <w:r w:rsidR="00021C22" w:rsidRPr="009B5834">
        <w:rPr>
          <w:rFonts w:ascii="Tahoma" w:hAnsi="Tahoma" w:cs="Tahoma"/>
          <w:i/>
          <w:iCs/>
          <w:sz w:val="18"/>
          <w:szCs w:val="18"/>
        </w:rPr>
        <w:t xml:space="preserve"> – </w:t>
      </w:r>
      <w:r w:rsidR="00021C22" w:rsidRPr="009B5834">
        <w:rPr>
          <w:rFonts w:ascii="Tahoma" w:hAnsi="Tahoma" w:cs="Tahoma"/>
          <w:sz w:val="18"/>
          <w:szCs w:val="18"/>
        </w:rPr>
        <w:t>A form of prejudice that results from the tendency and need to classify individuals into categories</w:t>
      </w:r>
    </w:p>
    <w:p w14:paraId="74E5ECC3" w14:textId="3DEB9F81"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Bigotry</w:t>
      </w:r>
      <w:r w:rsidR="00021C22" w:rsidRPr="009B5834">
        <w:rPr>
          <w:rFonts w:ascii="Tahoma" w:hAnsi="Tahoma" w:cs="Tahoma"/>
          <w:sz w:val="18"/>
          <w:szCs w:val="18"/>
        </w:rPr>
        <w:t xml:space="preserve"> – An unreasonable or irrational attachment to negative stereotypes and prejudices</w:t>
      </w:r>
    </w:p>
    <w:p w14:paraId="44FEC62B" w14:textId="3E4840A0"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BIPOC</w:t>
      </w:r>
      <w:r w:rsidR="00021C22" w:rsidRPr="009B5834">
        <w:rPr>
          <w:rFonts w:ascii="Tahoma" w:hAnsi="Tahoma" w:cs="Tahoma"/>
          <w:sz w:val="18"/>
          <w:szCs w:val="18"/>
        </w:rPr>
        <w:t xml:space="preserve"> – An acronym used to refer to black, indigenous, and people of color based on the recognition of collective experiences of systemic racism</w:t>
      </w:r>
    </w:p>
    <w:p w14:paraId="4C3A8F13" w14:textId="031250EF" w:rsidR="00E776AA" w:rsidRPr="009B5834" w:rsidRDefault="00E776AA" w:rsidP="00A0471C">
      <w:pPr>
        <w:spacing w:line="240" w:lineRule="auto"/>
        <w:rPr>
          <w:rFonts w:ascii="Tahoma" w:hAnsi="Tahoma" w:cs="Tahoma"/>
          <w:b/>
          <w:bCs/>
        </w:rPr>
      </w:pPr>
      <w:r w:rsidRPr="009B5834">
        <w:rPr>
          <w:rFonts w:ascii="Tahoma" w:hAnsi="Tahoma" w:cs="Tahoma"/>
          <w:b/>
          <w:bCs/>
        </w:rPr>
        <w:t>C</w:t>
      </w:r>
    </w:p>
    <w:p w14:paraId="7BED865F" w14:textId="2017BE2D"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Cis-Gender</w:t>
      </w:r>
      <w:r w:rsidR="00A23B06" w:rsidRPr="009B5834">
        <w:rPr>
          <w:rFonts w:ascii="Tahoma" w:hAnsi="Tahoma" w:cs="Tahoma"/>
          <w:i/>
          <w:iCs/>
          <w:sz w:val="18"/>
          <w:szCs w:val="18"/>
        </w:rPr>
        <w:t xml:space="preserve"> – </w:t>
      </w:r>
      <w:r w:rsidR="00A23B06" w:rsidRPr="009B5834">
        <w:rPr>
          <w:rFonts w:ascii="Tahoma" w:hAnsi="Tahoma" w:cs="Tahoma"/>
          <w:sz w:val="18"/>
          <w:szCs w:val="18"/>
        </w:rPr>
        <w:t>A person who identifies as the gender they were assigned at birth</w:t>
      </w:r>
    </w:p>
    <w:p w14:paraId="60F49B8F" w14:textId="5E9762AC" w:rsidR="00ED106F"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Color Blind</w:t>
      </w:r>
      <w:r w:rsidR="00A23B06" w:rsidRPr="009B5834">
        <w:rPr>
          <w:rFonts w:ascii="Tahoma" w:hAnsi="Tahoma" w:cs="Tahoma"/>
          <w:i/>
          <w:iCs/>
          <w:sz w:val="18"/>
          <w:szCs w:val="18"/>
        </w:rPr>
        <w:t xml:space="preserve"> </w:t>
      </w:r>
      <w:r w:rsidR="00A23B06" w:rsidRPr="009B5834">
        <w:rPr>
          <w:rFonts w:ascii="Tahoma" w:hAnsi="Tahoma" w:cs="Tahoma"/>
          <w:sz w:val="18"/>
          <w:szCs w:val="18"/>
        </w:rPr>
        <w:t>– The belief in treating everyone “equally” by treating everyone the same; (i.e., “I don’t see race, gender, etc.”)</w:t>
      </w:r>
    </w:p>
    <w:p w14:paraId="0855DC53" w14:textId="113A5DEA"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Conscious Bias</w:t>
      </w:r>
      <w:r w:rsidR="00A23B06" w:rsidRPr="009B5834">
        <w:rPr>
          <w:rFonts w:ascii="Tahoma" w:hAnsi="Tahoma" w:cs="Tahoma"/>
          <w:i/>
          <w:iCs/>
          <w:sz w:val="18"/>
          <w:szCs w:val="18"/>
        </w:rPr>
        <w:t xml:space="preserve"> – </w:t>
      </w:r>
      <w:r w:rsidR="00A23B06" w:rsidRPr="009B5834">
        <w:rPr>
          <w:rFonts w:ascii="Tahoma" w:hAnsi="Tahoma" w:cs="Tahoma"/>
          <w:sz w:val="18"/>
          <w:szCs w:val="18"/>
        </w:rPr>
        <w:t xml:space="preserve">Refers to the attitudes and beliefs we have about a person or group on a conscious </w:t>
      </w:r>
      <w:proofErr w:type="gramStart"/>
      <w:r w:rsidR="00A23B06" w:rsidRPr="009B5834">
        <w:rPr>
          <w:rFonts w:ascii="Tahoma" w:hAnsi="Tahoma" w:cs="Tahoma"/>
          <w:sz w:val="18"/>
          <w:szCs w:val="18"/>
        </w:rPr>
        <w:t>level;</w:t>
      </w:r>
      <w:proofErr w:type="gramEnd"/>
      <w:r w:rsidR="00A23B06" w:rsidRPr="009B5834">
        <w:rPr>
          <w:rFonts w:ascii="Tahoma" w:hAnsi="Tahoma" w:cs="Tahoma"/>
          <w:sz w:val="18"/>
          <w:szCs w:val="18"/>
        </w:rPr>
        <w:t xml:space="preserve"> Explicit bias</w:t>
      </w:r>
    </w:p>
    <w:p w14:paraId="6FF9F6E0" w14:textId="5D81C421"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Culture</w:t>
      </w:r>
      <w:r w:rsidR="00A23B06" w:rsidRPr="009B5834">
        <w:rPr>
          <w:rFonts w:ascii="Tahoma" w:hAnsi="Tahoma" w:cs="Tahoma"/>
          <w:i/>
          <w:iCs/>
          <w:sz w:val="18"/>
          <w:szCs w:val="18"/>
        </w:rPr>
        <w:t xml:space="preserve"> </w:t>
      </w:r>
      <w:r w:rsidR="00A23B06" w:rsidRPr="009B5834">
        <w:rPr>
          <w:rFonts w:ascii="Tahoma" w:hAnsi="Tahoma" w:cs="Tahoma"/>
          <w:sz w:val="18"/>
          <w:szCs w:val="18"/>
        </w:rPr>
        <w:t>– Culture is the pattern of daily life learned consciously and unconsciously by a group of people</w:t>
      </w:r>
    </w:p>
    <w:p w14:paraId="30090C50" w14:textId="7034A813"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Cultural Appropriation</w:t>
      </w:r>
      <w:r w:rsidR="00A23B06" w:rsidRPr="009B5834">
        <w:rPr>
          <w:rFonts w:ascii="Tahoma" w:hAnsi="Tahoma" w:cs="Tahoma"/>
          <w:sz w:val="18"/>
          <w:szCs w:val="18"/>
        </w:rPr>
        <w:t xml:space="preserve"> – The adoption or theft of icons, rituals, aesthetic standards, and behavior from one culture or subculture by another</w:t>
      </w:r>
    </w:p>
    <w:p w14:paraId="3EB1D4AD" w14:textId="658E7898" w:rsidR="00E776AA" w:rsidRPr="009B5834" w:rsidRDefault="00E776AA" w:rsidP="00A0471C">
      <w:pPr>
        <w:spacing w:line="240" w:lineRule="auto"/>
        <w:rPr>
          <w:rFonts w:ascii="Tahoma" w:hAnsi="Tahoma" w:cs="Tahoma"/>
          <w:sz w:val="18"/>
          <w:szCs w:val="18"/>
        </w:rPr>
      </w:pPr>
      <w:r w:rsidRPr="009B5834">
        <w:rPr>
          <w:rFonts w:ascii="Tahoma" w:hAnsi="Tahoma" w:cs="Tahoma"/>
          <w:b/>
          <w:bCs/>
        </w:rPr>
        <w:t>D</w:t>
      </w:r>
    </w:p>
    <w:p w14:paraId="42D2BCE0" w14:textId="77777777" w:rsidR="00A23B06" w:rsidRPr="009B5834" w:rsidRDefault="00A23B06" w:rsidP="00A0471C">
      <w:pPr>
        <w:spacing w:line="240" w:lineRule="auto"/>
        <w:rPr>
          <w:rFonts w:ascii="Tahoma" w:hAnsi="Tahoma" w:cs="Tahoma"/>
          <w:sz w:val="18"/>
          <w:szCs w:val="18"/>
        </w:rPr>
      </w:pPr>
      <w:r w:rsidRPr="009B5834">
        <w:rPr>
          <w:rFonts w:ascii="Tahoma" w:hAnsi="Tahoma" w:cs="Tahoma"/>
          <w:i/>
          <w:iCs/>
          <w:sz w:val="18"/>
          <w:szCs w:val="18"/>
        </w:rPr>
        <w:t xml:space="preserve">Decolonize – </w:t>
      </w:r>
      <w:r w:rsidRPr="009B5834">
        <w:rPr>
          <w:rFonts w:ascii="Tahoma" w:hAnsi="Tahoma" w:cs="Tahoma"/>
          <w:sz w:val="18"/>
          <w:szCs w:val="18"/>
        </w:rPr>
        <w:t>The active and intentional process of unlearning values, beliefs and conceptions that have caused harm to people through colonization</w:t>
      </w:r>
    </w:p>
    <w:p w14:paraId="25B55455" w14:textId="3905C5A8"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Disability</w:t>
      </w:r>
      <w:r w:rsidR="00A23B06" w:rsidRPr="009B5834">
        <w:rPr>
          <w:rFonts w:ascii="Tahoma" w:hAnsi="Tahoma" w:cs="Tahoma"/>
          <w:sz w:val="18"/>
          <w:szCs w:val="18"/>
        </w:rPr>
        <w:t xml:space="preserve"> – An impairment that may be cognitive, developmental, intellectual, mental, physical, sensory, or some combination of these</w:t>
      </w:r>
    </w:p>
    <w:p w14:paraId="65EDD4C2" w14:textId="3D8E75EB"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Discrimination</w:t>
      </w:r>
      <w:r w:rsidR="00A23B06" w:rsidRPr="009B5834">
        <w:rPr>
          <w:rFonts w:ascii="Tahoma" w:hAnsi="Tahoma" w:cs="Tahoma"/>
          <w:sz w:val="18"/>
          <w:szCs w:val="18"/>
        </w:rPr>
        <w:t xml:space="preserve"> – The denial fair treatment by both individuals and institutions in many areas, including employment, education, housing, banking, and political rights</w:t>
      </w:r>
    </w:p>
    <w:p w14:paraId="494F3A7E" w14:textId="5CCC6E5D" w:rsidR="00E776AA" w:rsidRPr="009B5834" w:rsidRDefault="00E776AA" w:rsidP="00A0471C">
      <w:pPr>
        <w:spacing w:line="240" w:lineRule="auto"/>
        <w:rPr>
          <w:rFonts w:ascii="Tahoma" w:hAnsi="Tahoma" w:cs="Tahoma"/>
          <w:b/>
          <w:bCs/>
        </w:rPr>
      </w:pPr>
      <w:r w:rsidRPr="009B5834">
        <w:rPr>
          <w:rFonts w:ascii="Tahoma" w:hAnsi="Tahoma" w:cs="Tahoma"/>
          <w:b/>
          <w:bCs/>
        </w:rPr>
        <w:t>E</w:t>
      </w:r>
    </w:p>
    <w:p w14:paraId="29B2BFC7" w14:textId="1F58BF4D"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Ethnicity</w:t>
      </w:r>
      <w:r w:rsidR="00A23B06" w:rsidRPr="009B5834">
        <w:rPr>
          <w:rFonts w:ascii="Tahoma" w:hAnsi="Tahoma" w:cs="Tahoma"/>
          <w:i/>
          <w:iCs/>
          <w:sz w:val="18"/>
          <w:szCs w:val="18"/>
        </w:rPr>
        <w:t xml:space="preserve"> – </w:t>
      </w:r>
      <w:r w:rsidR="00A23B06" w:rsidRPr="009B5834">
        <w:rPr>
          <w:rFonts w:ascii="Tahoma" w:hAnsi="Tahoma" w:cs="Tahoma"/>
          <w:sz w:val="18"/>
          <w:szCs w:val="18"/>
        </w:rPr>
        <w:t>A social construct that divides people into smaller social groups based on characteristics such as shared sense of group membership, values, behavioral patterns, language, political and economic interests, history, and ancestral geographical base</w:t>
      </w:r>
    </w:p>
    <w:p w14:paraId="59F04BD9" w14:textId="0B061C95"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Equality</w:t>
      </w:r>
      <w:r w:rsidR="00A23B06" w:rsidRPr="009B5834">
        <w:rPr>
          <w:rFonts w:ascii="Tahoma" w:hAnsi="Tahoma" w:cs="Tahoma"/>
          <w:sz w:val="18"/>
          <w:szCs w:val="18"/>
        </w:rPr>
        <w:t xml:space="preserve"> </w:t>
      </w:r>
      <w:r w:rsidR="00ED106F" w:rsidRPr="009B5834">
        <w:rPr>
          <w:rFonts w:ascii="Tahoma" w:hAnsi="Tahoma" w:cs="Tahoma"/>
          <w:sz w:val="18"/>
          <w:szCs w:val="18"/>
        </w:rPr>
        <w:t>–</w:t>
      </w:r>
      <w:r w:rsidR="00A23B06" w:rsidRPr="009B5834">
        <w:rPr>
          <w:rFonts w:ascii="Tahoma" w:hAnsi="Tahoma" w:cs="Tahoma"/>
          <w:sz w:val="18"/>
          <w:szCs w:val="18"/>
        </w:rPr>
        <w:t xml:space="preserve"> </w:t>
      </w:r>
      <w:r w:rsidR="00ED106F" w:rsidRPr="009B5834">
        <w:rPr>
          <w:rFonts w:ascii="Tahoma" w:hAnsi="Tahoma" w:cs="Tahoma"/>
          <w:sz w:val="18"/>
          <w:szCs w:val="18"/>
        </w:rPr>
        <w:t>All people within a society or isolated group have the same status and rights regardless of their social identities</w:t>
      </w:r>
    </w:p>
    <w:p w14:paraId="02AE0B81" w14:textId="6888E5E4" w:rsidR="00E776AA" w:rsidRPr="009B5834" w:rsidRDefault="00E776AA" w:rsidP="00A0471C">
      <w:pPr>
        <w:spacing w:line="240" w:lineRule="auto"/>
        <w:rPr>
          <w:rFonts w:ascii="Tahoma" w:hAnsi="Tahoma" w:cs="Tahoma"/>
          <w:i/>
          <w:iCs/>
          <w:sz w:val="18"/>
          <w:szCs w:val="18"/>
        </w:rPr>
      </w:pPr>
      <w:r w:rsidRPr="009B5834">
        <w:rPr>
          <w:rFonts w:ascii="Tahoma" w:hAnsi="Tahoma" w:cs="Tahoma"/>
          <w:b/>
          <w:bCs/>
        </w:rPr>
        <w:t>G</w:t>
      </w:r>
    </w:p>
    <w:p w14:paraId="3B599477" w14:textId="73E7F819"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 xml:space="preserve">Gender Expression </w:t>
      </w:r>
      <w:r w:rsidR="006C2EB9" w:rsidRPr="009B5834">
        <w:rPr>
          <w:rFonts w:ascii="Tahoma" w:hAnsi="Tahoma" w:cs="Tahoma"/>
          <w:i/>
          <w:iCs/>
          <w:sz w:val="18"/>
          <w:szCs w:val="18"/>
        </w:rPr>
        <w:t xml:space="preserve">– </w:t>
      </w:r>
      <w:r w:rsidR="006C2EB9" w:rsidRPr="009B5834">
        <w:rPr>
          <w:rFonts w:ascii="Tahoma" w:hAnsi="Tahoma" w:cs="Tahoma"/>
          <w:sz w:val="18"/>
          <w:szCs w:val="18"/>
        </w:rPr>
        <w:t>External manifestations of gender, expressed through a person's name, pronouns, clothing, haircut, behavior, voice, and/or body characteristics</w:t>
      </w:r>
    </w:p>
    <w:p w14:paraId="354080DF" w14:textId="20CAAFA5" w:rsidR="00E776AA" w:rsidRPr="009B5834" w:rsidRDefault="00E776AA" w:rsidP="00A0471C">
      <w:pPr>
        <w:spacing w:line="240" w:lineRule="auto"/>
        <w:rPr>
          <w:rFonts w:ascii="Tahoma" w:hAnsi="Tahoma" w:cs="Tahoma"/>
          <w:i/>
          <w:iCs/>
          <w:sz w:val="18"/>
          <w:szCs w:val="18"/>
        </w:rPr>
      </w:pPr>
      <w:r w:rsidRPr="009B5834">
        <w:rPr>
          <w:rFonts w:ascii="Tahoma" w:hAnsi="Tahoma" w:cs="Tahoma"/>
          <w:i/>
          <w:iCs/>
          <w:sz w:val="18"/>
          <w:szCs w:val="18"/>
        </w:rPr>
        <w:t>Gender Identity</w:t>
      </w:r>
      <w:r w:rsidR="006C2EB9" w:rsidRPr="009B5834">
        <w:rPr>
          <w:rFonts w:ascii="Tahoma" w:hAnsi="Tahoma" w:cs="Tahoma"/>
          <w:i/>
          <w:iCs/>
          <w:sz w:val="18"/>
          <w:szCs w:val="18"/>
        </w:rPr>
        <w:t xml:space="preserve"> – </w:t>
      </w:r>
      <w:r w:rsidR="006C2EB9" w:rsidRPr="009B5834">
        <w:rPr>
          <w:rFonts w:ascii="Tahoma" w:hAnsi="Tahoma" w:cs="Tahoma"/>
          <w:sz w:val="18"/>
          <w:szCs w:val="18"/>
        </w:rPr>
        <w:t>Your internal sense of self; how you relate to your gender</w:t>
      </w:r>
      <w:r w:rsidRPr="009B5834">
        <w:rPr>
          <w:rFonts w:ascii="Tahoma" w:hAnsi="Tahoma" w:cs="Tahoma"/>
          <w:i/>
          <w:iCs/>
          <w:sz w:val="18"/>
          <w:szCs w:val="18"/>
        </w:rPr>
        <w:t xml:space="preserve"> </w:t>
      </w:r>
    </w:p>
    <w:p w14:paraId="612EF2DE" w14:textId="279EDEB4" w:rsidR="00E776AA" w:rsidRPr="009B5834" w:rsidRDefault="00E776AA" w:rsidP="00A0471C">
      <w:pPr>
        <w:spacing w:line="240" w:lineRule="auto"/>
        <w:rPr>
          <w:rFonts w:ascii="Tahoma" w:hAnsi="Tahoma" w:cs="Tahoma"/>
          <w:i/>
          <w:iCs/>
          <w:sz w:val="18"/>
          <w:szCs w:val="18"/>
        </w:rPr>
      </w:pPr>
      <w:r w:rsidRPr="009B5834">
        <w:rPr>
          <w:rFonts w:ascii="Tahoma" w:hAnsi="Tahoma" w:cs="Tahoma"/>
          <w:b/>
          <w:bCs/>
        </w:rPr>
        <w:t>H</w:t>
      </w:r>
    </w:p>
    <w:p w14:paraId="5C8FB75F" w14:textId="35D15F78" w:rsidR="006C2EB9" w:rsidRPr="009B5834" w:rsidRDefault="006C2EB9" w:rsidP="00A0471C">
      <w:pPr>
        <w:spacing w:line="240" w:lineRule="auto"/>
        <w:rPr>
          <w:rFonts w:ascii="Tahoma" w:hAnsi="Tahoma" w:cs="Tahoma"/>
          <w:sz w:val="18"/>
          <w:szCs w:val="18"/>
        </w:rPr>
      </w:pPr>
      <w:r w:rsidRPr="009B5834">
        <w:rPr>
          <w:rFonts w:ascii="Tahoma" w:hAnsi="Tahoma" w:cs="Tahoma"/>
          <w:i/>
          <w:iCs/>
          <w:sz w:val="18"/>
          <w:szCs w:val="18"/>
        </w:rPr>
        <w:t>Harassment</w:t>
      </w:r>
      <w:r w:rsidRPr="009B5834">
        <w:rPr>
          <w:rFonts w:ascii="Tahoma" w:hAnsi="Tahoma" w:cs="Tahoma"/>
          <w:sz w:val="18"/>
          <w:szCs w:val="18"/>
        </w:rPr>
        <w:t xml:space="preserve"> – Unwanted conduct with the purpose or effect of violating the dignity of a person and of creating an intimidating, hostile, degrading, humiliating, or offensive environment based on their race, color, sex, sexual orientation, religion, national origin, disability, age, etcetera </w:t>
      </w:r>
    </w:p>
    <w:p w14:paraId="14D26574" w14:textId="316D6129"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lastRenderedPageBreak/>
        <w:t>Hate Crime</w:t>
      </w:r>
      <w:r w:rsidR="006C2EB9" w:rsidRPr="009B5834">
        <w:rPr>
          <w:rFonts w:ascii="Tahoma" w:hAnsi="Tahoma" w:cs="Tahoma"/>
          <w:sz w:val="18"/>
          <w:szCs w:val="18"/>
        </w:rPr>
        <w:t xml:space="preserve"> – A crime motivated by the actual or perceived race, color, religion, national origin, ethnicity, gender, disability, or sexual orientation of the victim</w:t>
      </w:r>
    </w:p>
    <w:p w14:paraId="29690774" w14:textId="1C4FC91B"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Homophobia</w:t>
      </w:r>
      <w:r w:rsidR="00B42AA0" w:rsidRPr="009B5834">
        <w:rPr>
          <w:rFonts w:ascii="Tahoma" w:hAnsi="Tahoma" w:cs="Tahoma"/>
          <w:sz w:val="18"/>
          <w:szCs w:val="18"/>
        </w:rPr>
        <w:t xml:space="preserve"> – The fear or hatred of homosexuality (and other non-heterosexual identities) and persons perceived to be gay or lesbian</w:t>
      </w:r>
    </w:p>
    <w:p w14:paraId="5D04E791" w14:textId="32B6B753" w:rsidR="00E776AA" w:rsidRPr="009B5834" w:rsidRDefault="00E776AA" w:rsidP="00A0471C">
      <w:pPr>
        <w:spacing w:line="240" w:lineRule="auto"/>
        <w:rPr>
          <w:rFonts w:ascii="Tahoma" w:hAnsi="Tahoma" w:cs="Tahoma"/>
          <w:b/>
          <w:bCs/>
        </w:rPr>
      </w:pPr>
      <w:r w:rsidRPr="009B5834">
        <w:rPr>
          <w:rFonts w:ascii="Tahoma" w:hAnsi="Tahoma" w:cs="Tahoma"/>
          <w:b/>
          <w:bCs/>
        </w:rPr>
        <w:t>I</w:t>
      </w:r>
    </w:p>
    <w:p w14:paraId="26A3CCDC" w14:textId="5A3C4EF3"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Indigenous Peopl</w:t>
      </w:r>
      <w:r w:rsidR="00B42AA0" w:rsidRPr="009B5834">
        <w:rPr>
          <w:rFonts w:ascii="Tahoma" w:hAnsi="Tahoma" w:cs="Tahoma"/>
          <w:i/>
          <w:iCs/>
          <w:sz w:val="18"/>
          <w:szCs w:val="18"/>
        </w:rPr>
        <w:t xml:space="preserve">e – </w:t>
      </w:r>
      <w:r w:rsidR="00B42AA0" w:rsidRPr="009B5834">
        <w:rPr>
          <w:rFonts w:ascii="Tahoma" w:hAnsi="Tahoma" w:cs="Tahoma"/>
          <w:sz w:val="18"/>
          <w:szCs w:val="18"/>
        </w:rPr>
        <w:t>Ethnic groups who are the original inhabitants of a given region, in contrast to groups that have settled, occupied, or colonized the area</w:t>
      </w:r>
    </w:p>
    <w:p w14:paraId="033F891D" w14:textId="24840F11"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-Isms”</w:t>
      </w:r>
      <w:r w:rsidR="00B42AA0" w:rsidRPr="009B5834">
        <w:rPr>
          <w:rFonts w:ascii="Tahoma" w:hAnsi="Tahoma" w:cs="Tahoma"/>
          <w:i/>
          <w:iCs/>
          <w:sz w:val="18"/>
          <w:szCs w:val="18"/>
        </w:rPr>
        <w:t xml:space="preserve"> - </w:t>
      </w:r>
      <w:r w:rsidR="00B42AA0" w:rsidRPr="009B5834">
        <w:rPr>
          <w:rFonts w:ascii="Tahoma" w:hAnsi="Tahoma" w:cs="Tahoma"/>
          <w:sz w:val="18"/>
          <w:szCs w:val="18"/>
        </w:rPr>
        <w:t>A way of describing any attitude, action or institutional structure that subordinates (oppresses) a person or group because of their target group. For example, color (racism), gender (sexism), economic status (classism), older age (ageism), religion (e.g., anti-Semitism), sexual orientation (heterosexism), language/immigrant status (</w:t>
      </w:r>
      <w:proofErr w:type="spellStart"/>
      <w:r w:rsidR="00B42AA0" w:rsidRPr="009B5834">
        <w:rPr>
          <w:rFonts w:ascii="Tahoma" w:hAnsi="Tahoma" w:cs="Tahoma"/>
          <w:sz w:val="18"/>
          <w:szCs w:val="18"/>
        </w:rPr>
        <w:t>xenophobism</w:t>
      </w:r>
      <w:proofErr w:type="spellEnd"/>
      <w:r w:rsidR="00B42AA0" w:rsidRPr="009B5834">
        <w:rPr>
          <w:rFonts w:ascii="Tahoma" w:hAnsi="Tahoma" w:cs="Tahoma"/>
          <w:sz w:val="18"/>
          <w:szCs w:val="18"/>
        </w:rPr>
        <w:t>), etc.</w:t>
      </w:r>
    </w:p>
    <w:p w14:paraId="1E581924" w14:textId="15A7AC89" w:rsidR="00E776AA" w:rsidRPr="009B5834" w:rsidRDefault="00E776AA" w:rsidP="00A0471C">
      <w:pPr>
        <w:spacing w:line="240" w:lineRule="auto"/>
        <w:rPr>
          <w:rFonts w:ascii="Tahoma" w:hAnsi="Tahoma" w:cs="Tahoma"/>
          <w:b/>
          <w:bCs/>
        </w:rPr>
      </w:pPr>
      <w:r w:rsidRPr="009B5834">
        <w:rPr>
          <w:rFonts w:ascii="Tahoma" w:hAnsi="Tahoma" w:cs="Tahoma"/>
          <w:b/>
          <w:bCs/>
        </w:rPr>
        <w:t>L</w:t>
      </w:r>
    </w:p>
    <w:p w14:paraId="393BE4EF" w14:textId="71E7D50B"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LGBTQIA+</w:t>
      </w:r>
      <w:r w:rsidR="00925136" w:rsidRPr="009B5834">
        <w:rPr>
          <w:rFonts w:ascii="Tahoma" w:hAnsi="Tahoma" w:cs="Tahoma"/>
          <w:sz w:val="18"/>
          <w:szCs w:val="18"/>
        </w:rPr>
        <w:t xml:space="preserve"> - An inclusive term for those who identify as lesbian, gay, bisexual, transgender, queer, intersex, and asexual</w:t>
      </w:r>
    </w:p>
    <w:p w14:paraId="44077419" w14:textId="3509A395" w:rsidR="00E776AA" w:rsidRPr="009B5834" w:rsidRDefault="00E776AA" w:rsidP="00A0471C">
      <w:pPr>
        <w:spacing w:line="240" w:lineRule="auto"/>
        <w:rPr>
          <w:rFonts w:ascii="Tahoma" w:hAnsi="Tahoma" w:cs="Tahoma"/>
          <w:b/>
          <w:bCs/>
        </w:rPr>
      </w:pPr>
      <w:r w:rsidRPr="009B5834">
        <w:rPr>
          <w:rFonts w:ascii="Tahoma" w:hAnsi="Tahoma" w:cs="Tahoma"/>
          <w:b/>
          <w:bCs/>
        </w:rPr>
        <w:t>M</w:t>
      </w:r>
    </w:p>
    <w:p w14:paraId="73BD11A7" w14:textId="32C6342F"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 xml:space="preserve">Micro-Aggression </w:t>
      </w:r>
      <w:r w:rsidR="00925136" w:rsidRPr="009B5834">
        <w:rPr>
          <w:rFonts w:ascii="Tahoma" w:hAnsi="Tahoma" w:cs="Tahoma"/>
          <w:sz w:val="18"/>
          <w:szCs w:val="18"/>
        </w:rPr>
        <w:t>– The verbal, nonverbal, and environmental slights, snubs, insults, or belittlement, whether intentional or unintentional, which communicate hostile, derogatory, or negative messages to target persons based solely upon discriminatory belief systems</w:t>
      </w:r>
    </w:p>
    <w:p w14:paraId="5FD228C8" w14:textId="18F67879" w:rsidR="00E776AA" w:rsidRPr="009B5834" w:rsidRDefault="00E776AA" w:rsidP="00A0471C">
      <w:pPr>
        <w:spacing w:line="240" w:lineRule="auto"/>
        <w:rPr>
          <w:rFonts w:ascii="Tahoma" w:hAnsi="Tahoma" w:cs="Tahoma"/>
          <w:b/>
          <w:bCs/>
        </w:rPr>
      </w:pPr>
      <w:r w:rsidRPr="009B5834">
        <w:rPr>
          <w:rFonts w:ascii="Tahoma" w:hAnsi="Tahoma" w:cs="Tahoma"/>
          <w:b/>
          <w:bCs/>
        </w:rPr>
        <w:t>N</w:t>
      </w:r>
    </w:p>
    <w:p w14:paraId="72D0FFFA" w14:textId="7942D1F8" w:rsidR="00A0471C" w:rsidRPr="009B5834" w:rsidRDefault="00E776AA" w:rsidP="00A0471C">
      <w:pPr>
        <w:spacing w:line="240" w:lineRule="auto"/>
        <w:rPr>
          <w:rFonts w:ascii="Tahoma" w:hAnsi="Tahoma" w:cs="Tahoma"/>
          <w:i/>
          <w:iCs/>
          <w:sz w:val="18"/>
          <w:szCs w:val="18"/>
        </w:rPr>
      </w:pPr>
      <w:r w:rsidRPr="009B5834">
        <w:rPr>
          <w:rFonts w:ascii="Tahoma" w:hAnsi="Tahoma" w:cs="Tahoma"/>
          <w:i/>
          <w:iCs/>
          <w:sz w:val="18"/>
          <w:szCs w:val="18"/>
        </w:rPr>
        <w:t>Non-Binary</w:t>
      </w:r>
      <w:r w:rsidR="006A0786" w:rsidRPr="009B5834">
        <w:rPr>
          <w:rFonts w:ascii="Tahoma" w:hAnsi="Tahoma" w:cs="Tahoma"/>
          <w:i/>
          <w:iCs/>
          <w:sz w:val="18"/>
          <w:szCs w:val="18"/>
        </w:rPr>
        <w:t xml:space="preserve"> –</w:t>
      </w:r>
      <w:r w:rsidR="006A0786" w:rsidRPr="009B5834">
        <w:rPr>
          <w:rFonts w:ascii="Tahoma" w:hAnsi="Tahoma" w:cs="Tahoma"/>
          <w:sz w:val="18"/>
          <w:szCs w:val="18"/>
        </w:rPr>
        <w:t xml:space="preserve"> People who experience their gender identity and/or gender expression as </w:t>
      </w:r>
      <w:r w:rsidR="006A0786" w:rsidRPr="009B5834">
        <w:rPr>
          <w:rFonts w:ascii="Tahoma" w:hAnsi="Tahoma" w:cs="Tahoma"/>
          <w:sz w:val="18"/>
          <w:szCs w:val="18"/>
        </w:rPr>
        <w:t>falling outside the categories of man and woman</w:t>
      </w:r>
    </w:p>
    <w:p w14:paraId="2273451D" w14:textId="4FF4864C" w:rsidR="00E776AA" w:rsidRPr="009B5834" w:rsidRDefault="00E776AA" w:rsidP="00A0471C">
      <w:pPr>
        <w:spacing w:line="240" w:lineRule="auto"/>
        <w:rPr>
          <w:rFonts w:ascii="Tahoma" w:hAnsi="Tahoma" w:cs="Tahoma"/>
          <w:i/>
          <w:iCs/>
          <w:sz w:val="18"/>
          <w:szCs w:val="18"/>
        </w:rPr>
      </w:pPr>
      <w:r w:rsidRPr="009B5834">
        <w:rPr>
          <w:rFonts w:ascii="Tahoma" w:hAnsi="Tahoma" w:cs="Tahoma"/>
          <w:b/>
          <w:bCs/>
        </w:rPr>
        <w:t>O</w:t>
      </w:r>
    </w:p>
    <w:p w14:paraId="7FAD335E" w14:textId="4434739B" w:rsidR="00E776AA" w:rsidRPr="009B5834" w:rsidRDefault="00E776AA" w:rsidP="00A0471C">
      <w:pPr>
        <w:spacing w:line="240" w:lineRule="auto"/>
        <w:rPr>
          <w:rFonts w:ascii="Tahoma" w:hAnsi="Tahoma" w:cs="Tahoma"/>
          <w:i/>
          <w:iCs/>
          <w:sz w:val="18"/>
          <w:szCs w:val="18"/>
        </w:rPr>
      </w:pPr>
      <w:r w:rsidRPr="009B5834">
        <w:rPr>
          <w:rFonts w:ascii="Tahoma" w:hAnsi="Tahoma" w:cs="Tahoma"/>
          <w:i/>
          <w:iCs/>
          <w:sz w:val="18"/>
          <w:szCs w:val="18"/>
        </w:rPr>
        <w:t>Oppression</w:t>
      </w:r>
      <w:r w:rsidR="006A0786" w:rsidRPr="009B5834">
        <w:rPr>
          <w:rFonts w:ascii="Tahoma" w:hAnsi="Tahoma" w:cs="Tahoma"/>
          <w:i/>
          <w:iCs/>
          <w:sz w:val="18"/>
          <w:szCs w:val="18"/>
        </w:rPr>
        <w:t xml:space="preserve"> - </w:t>
      </w:r>
      <w:r w:rsidR="006A0786" w:rsidRPr="009B5834">
        <w:rPr>
          <w:rFonts w:ascii="Tahoma" w:hAnsi="Tahoma" w:cs="Tahoma"/>
          <w:sz w:val="18"/>
          <w:szCs w:val="18"/>
        </w:rPr>
        <w:t>Results from the use of institutional power and privilege where one person or group benefits at the expense of another</w:t>
      </w:r>
    </w:p>
    <w:p w14:paraId="77702BC4" w14:textId="3FDAA38C" w:rsidR="00E776AA" w:rsidRPr="009B5834" w:rsidRDefault="00E776AA" w:rsidP="00A0471C">
      <w:pPr>
        <w:spacing w:line="240" w:lineRule="auto"/>
        <w:rPr>
          <w:rFonts w:ascii="Tahoma" w:hAnsi="Tahoma" w:cs="Tahoma"/>
          <w:b/>
          <w:bCs/>
        </w:rPr>
      </w:pPr>
      <w:r w:rsidRPr="009B5834">
        <w:rPr>
          <w:rFonts w:ascii="Tahoma" w:hAnsi="Tahoma" w:cs="Tahoma"/>
          <w:b/>
          <w:bCs/>
        </w:rPr>
        <w:t>P</w:t>
      </w:r>
    </w:p>
    <w:p w14:paraId="2D05FC99" w14:textId="0F0C58BD"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 xml:space="preserve">Privilege </w:t>
      </w:r>
      <w:r w:rsidR="006A0786" w:rsidRPr="009B5834">
        <w:rPr>
          <w:rFonts w:ascii="Tahoma" w:hAnsi="Tahoma" w:cs="Tahoma"/>
          <w:sz w:val="18"/>
          <w:szCs w:val="18"/>
        </w:rPr>
        <w:t>- Unearned access to resources (social power) only readily available to some individuals as a result of their social group</w:t>
      </w:r>
    </w:p>
    <w:p w14:paraId="3497D5D8" w14:textId="7AEE92C6" w:rsidR="00E776AA" w:rsidRPr="009B5834" w:rsidRDefault="00E776AA" w:rsidP="00A0471C">
      <w:pPr>
        <w:spacing w:line="240" w:lineRule="auto"/>
        <w:rPr>
          <w:rFonts w:ascii="Tahoma" w:hAnsi="Tahoma" w:cs="Tahoma"/>
          <w:i/>
          <w:iCs/>
          <w:sz w:val="18"/>
          <w:szCs w:val="18"/>
        </w:rPr>
      </w:pPr>
      <w:r w:rsidRPr="009B5834">
        <w:rPr>
          <w:rFonts w:ascii="Tahoma" w:hAnsi="Tahoma" w:cs="Tahoma"/>
          <w:b/>
          <w:bCs/>
        </w:rPr>
        <w:t>R</w:t>
      </w:r>
    </w:p>
    <w:p w14:paraId="7D3218FF" w14:textId="70A0C27E" w:rsidR="00E776AA" w:rsidRPr="009B5834" w:rsidRDefault="00E776AA" w:rsidP="009B5834">
      <w:pPr>
        <w:spacing w:line="240" w:lineRule="auto"/>
        <w:rPr>
          <w:rFonts w:ascii="Tahoma" w:hAnsi="Tahoma" w:cs="Tahoma"/>
          <w:sz w:val="18"/>
          <w:szCs w:val="18"/>
        </w:rPr>
      </w:pPr>
      <w:r w:rsidRPr="009B5834">
        <w:rPr>
          <w:rFonts w:ascii="Tahoma" w:hAnsi="Tahoma" w:cs="Tahoma"/>
          <w:i/>
          <w:iCs/>
          <w:sz w:val="18"/>
          <w:szCs w:val="18"/>
        </w:rPr>
        <w:t>Race</w:t>
      </w:r>
      <w:r w:rsidR="006A0786" w:rsidRPr="009B5834">
        <w:rPr>
          <w:rFonts w:ascii="Tahoma" w:hAnsi="Tahoma" w:cs="Tahoma"/>
          <w:sz w:val="18"/>
          <w:szCs w:val="18"/>
        </w:rPr>
        <w:t xml:space="preserve"> – A social construct that artificially divides individuals into distinct groups based on characteristics such as physical appearance (particularly skin color), ancestral heritage, cultural affiliation or history, ethnic classification, and/or the social, economic, and political needs of a society at a given period of time</w:t>
      </w:r>
    </w:p>
    <w:p w14:paraId="3C40E0B6" w14:textId="3041BD0E"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 xml:space="preserve">Racism </w:t>
      </w:r>
      <w:r w:rsidR="008879A5" w:rsidRPr="009B5834">
        <w:rPr>
          <w:rFonts w:ascii="Tahoma" w:hAnsi="Tahoma" w:cs="Tahoma"/>
          <w:sz w:val="18"/>
          <w:szCs w:val="18"/>
        </w:rPr>
        <w:t>– Prejudiced thoughts and discriminatory actions based on a difference in race/ethnicity</w:t>
      </w:r>
    </w:p>
    <w:p w14:paraId="1FF861CF" w14:textId="36FE60B4" w:rsidR="00E776AA" w:rsidRPr="009B5834" w:rsidRDefault="00E776AA" w:rsidP="00A0471C">
      <w:pPr>
        <w:spacing w:line="240" w:lineRule="auto"/>
        <w:rPr>
          <w:rFonts w:ascii="Tahoma" w:hAnsi="Tahoma" w:cs="Tahoma"/>
          <w:b/>
          <w:bCs/>
        </w:rPr>
      </w:pPr>
      <w:r w:rsidRPr="009B5834">
        <w:rPr>
          <w:rFonts w:ascii="Tahoma" w:hAnsi="Tahoma" w:cs="Tahoma"/>
          <w:b/>
          <w:bCs/>
        </w:rPr>
        <w:t>S</w:t>
      </w:r>
    </w:p>
    <w:p w14:paraId="519E1322" w14:textId="3BE09E60"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Sex</w:t>
      </w:r>
      <w:r w:rsidR="00345C2C" w:rsidRPr="009B5834">
        <w:rPr>
          <w:rFonts w:ascii="Tahoma" w:hAnsi="Tahoma" w:cs="Tahoma"/>
          <w:sz w:val="18"/>
          <w:szCs w:val="18"/>
        </w:rPr>
        <w:t xml:space="preserve"> – Biological classification of male or female (based on genetic or physiological features); as opposed to gender</w:t>
      </w:r>
    </w:p>
    <w:p w14:paraId="5E45C4A1" w14:textId="7C49C7A6"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Sexual Orientation</w:t>
      </w:r>
      <w:r w:rsidR="00345C2C" w:rsidRPr="009B5834">
        <w:rPr>
          <w:rFonts w:ascii="Tahoma" w:hAnsi="Tahoma" w:cs="Tahoma"/>
          <w:sz w:val="18"/>
          <w:szCs w:val="18"/>
        </w:rPr>
        <w:t xml:space="preserve"> – One’s natural (not chosen) preference in sexual partners</w:t>
      </w:r>
    </w:p>
    <w:p w14:paraId="2C35981B" w14:textId="4A3CB60E" w:rsidR="00E776AA" w:rsidRPr="009B5834" w:rsidRDefault="00E776AA" w:rsidP="00A0471C">
      <w:pPr>
        <w:spacing w:line="240" w:lineRule="auto"/>
        <w:rPr>
          <w:rFonts w:ascii="Tahoma" w:hAnsi="Tahoma" w:cs="Tahoma"/>
          <w:i/>
          <w:iCs/>
          <w:sz w:val="18"/>
          <w:szCs w:val="18"/>
        </w:rPr>
      </w:pPr>
      <w:r w:rsidRPr="009B5834">
        <w:rPr>
          <w:rFonts w:ascii="Tahoma" w:hAnsi="Tahoma" w:cs="Tahoma"/>
          <w:i/>
          <w:iCs/>
          <w:sz w:val="18"/>
          <w:szCs w:val="18"/>
        </w:rPr>
        <w:t xml:space="preserve">Stereotype </w:t>
      </w:r>
      <w:r w:rsidR="00345C2C" w:rsidRPr="009B5834">
        <w:rPr>
          <w:rFonts w:ascii="Tahoma" w:hAnsi="Tahoma" w:cs="Tahoma"/>
          <w:i/>
          <w:iCs/>
          <w:sz w:val="18"/>
          <w:szCs w:val="18"/>
        </w:rPr>
        <w:t xml:space="preserve">– </w:t>
      </w:r>
      <w:r w:rsidR="00345C2C" w:rsidRPr="009B5834">
        <w:rPr>
          <w:rFonts w:ascii="Tahoma" w:hAnsi="Tahoma" w:cs="Tahoma"/>
          <w:sz w:val="18"/>
          <w:szCs w:val="18"/>
        </w:rPr>
        <w:t>A form of generalization rooted in blanket beliefs and false assumptions, a product of processes of categorization that can result in a prejudiced attitude, uncritical judgment, and intentional or unintentional discrimination</w:t>
      </w:r>
    </w:p>
    <w:p w14:paraId="73BAE891" w14:textId="5BB6E95C"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Systemic Racism</w:t>
      </w:r>
      <w:r w:rsidR="00D41363" w:rsidRPr="009B5834">
        <w:rPr>
          <w:rFonts w:ascii="Tahoma" w:hAnsi="Tahoma" w:cs="Tahoma"/>
          <w:sz w:val="18"/>
          <w:szCs w:val="18"/>
        </w:rPr>
        <w:t xml:space="preserve"> – Complex interactions of culture, policy, and institutions that create and maintain racial inequality in </w:t>
      </w:r>
      <w:r w:rsidR="00D41363" w:rsidRPr="009B5834">
        <w:rPr>
          <w:rFonts w:ascii="Tahoma" w:hAnsi="Tahoma" w:cs="Tahoma"/>
          <w:sz w:val="18"/>
          <w:szCs w:val="18"/>
        </w:rPr>
        <w:t>nearly every facet of life for people of color</w:t>
      </w:r>
    </w:p>
    <w:p w14:paraId="7B6DEE18" w14:textId="40B4AE96" w:rsidR="00E776AA" w:rsidRPr="009B5834" w:rsidRDefault="00E776AA" w:rsidP="00A0471C">
      <w:pPr>
        <w:spacing w:line="240" w:lineRule="auto"/>
        <w:rPr>
          <w:rFonts w:ascii="Tahoma" w:hAnsi="Tahoma" w:cs="Tahoma"/>
          <w:b/>
          <w:bCs/>
        </w:rPr>
      </w:pPr>
      <w:r w:rsidRPr="009B5834">
        <w:rPr>
          <w:rFonts w:ascii="Tahoma" w:hAnsi="Tahoma" w:cs="Tahoma"/>
          <w:b/>
          <w:bCs/>
        </w:rPr>
        <w:t>T</w:t>
      </w:r>
    </w:p>
    <w:p w14:paraId="7D42EE28" w14:textId="5664828D"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Token-ism</w:t>
      </w:r>
      <w:r w:rsidR="00BE699C" w:rsidRPr="009B5834">
        <w:rPr>
          <w:rFonts w:ascii="Tahoma" w:hAnsi="Tahoma" w:cs="Tahoma"/>
          <w:i/>
          <w:iCs/>
          <w:sz w:val="18"/>
          <w:szCs w:val="18"/>
        </w:rPr>
        <w:t xml:space="preserve"> – </w:t>
      </w:r>
      <w:r w:rsidR="00BE699C" w:rsidRPr="009B5834">
        <w:rPr>
          <w:rFonts w:ascii="Tahoma" w:hAnsi="Tahoma" w:cs="Tahoma"/>
          <w:sz w:val="18"/>
          <w:szCs w:val="18"/>
        </w:rPr>
        <w:t>Hiring or seeking just to have representation such as a few women and/or racial or ethnic minority persons so as to appear inclusive while remaining mono-cultural</w:t>
      </w:r>
    </w:p>
    <w:p w14:paraId="4DDBF0CD" w14:textId="27CD1A44"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Transgender/Trans</w:t>
      </w:r>
      <w:r w:rsidR="00BE699C" w:rsidRPr="009B5834">
        <w:rPr>
          <w:rFonts w:ascii="Tahoma" w:hAnsi="Tahoma" w:cs="Tahoma"/>
          <w:i/>
          <w:iCs/>
          <w:sz w:val="18"/>
          <w:szCs w:val="18"/>
        </w:rPr>
        <w:t xml:space="preserve"> – </w:t>
      </w:r>
      <w:r w:rsidR="00BE699C" w:rsidRPr="009B5834">
        <w:rPr>
          <w:rFonts w:ascii="Tahoma" w:hAnsi="Tahoma" w:cs="Tahoma"/>
          <w:sz w:val="18"/>
          <w:szCs w:val="18"/>
        </w:rPr>
        <w:t>An umbrella term for people whose gender identity differs from the sex they were assigned at birth. The term transgender is not indicative of gender expression, sexual orientation, hormonal makeup, physical anatomy, or how one is perceived in daily life.</w:t>
      </w:r>
    </w:p>
    <w:p w14:paraId="3EF18919" w14:textId="0E86FE68" w:rsidR="00E776AA" w:rsidRPr="009B5834" w:rsidRDefault="00E776AA" w:rsidP="00A0471C">
      <w:pPr>
        <w:spacing w:line="240" w:lineRule="auto"/>
        <w:rPr>
          <w:rFonts w:ascii="Tahoma" w:hAnsi="Tahoma" w:cs="Tahoma"/>
          <w:sz w:val="18"/>
          <w:szCs w:val="18"/>
        </w:rPr>
      </w:pPr>
      <w:r w:rsidRPr="009B5834">
        <w:rPr>
          <w:rFonts w:ascii="Tahoma" w:hAnsi="Tahoma" w:cs="Tahoma"/>
          <w:i/>
          <w:iCs/>
          <w:sz w:val="18"/>
          <w:szCs w:val="18"/>
        </w:rPr>
        <w:t>Transphobia</w:t>
      </w:r>
      <w:r w:rsidR="00BE699C" w:rsidRPr="009B5834">
        <w:rPr>
          <w:rFonts w:ascii="Tahoma" w:hAnsi="Tahoma" w:cs="Tahoma"/>
          <w:sz w:val="18"/>
          <w:szCs w:val="18"/>
        </w:rPr>
        <w:t xml:space="preserve"> – Fear or hatred of transgender people; can exist in LGB and straight communities</w:t>
      </w:r>
    </w:p>
    <w:p w14:paraId="6D7E1F42" w14:textId="77777777" w:rsidR="00021C22" w:rsidRPr="009B5834" w:rsidRDefault="00E776AA" w:rsidP="00A0471C">
      <w:pPr>
        <w:spacing w:line="240" w:lineRule="auto"/>
        <w:rPr>
          <w:rFonts w:ascii="Tahoma" w:hAnsi="Tahoma" w:cs="Tahoma"/>
          <w:i/>
          <w:iCs/>
          <w:sz w:val="18"/>
          <w:szCs w:val="18"/>
        </w:rPr>
      </w:pPr>
      <w:r w:rsidRPr="009B5834">
        <w:rPr>
          <w:rFonts w:ascii="Tahoma" w:hAnsi="Tahoma" w:cs="Tahoma"/>
          <w:b/>
          <w:bCs/>
        </w:rPr>
        <w:t>U</w:t>
      </w:r>
    </w:p>
    <w:p w14:paraId="4775204D" w14:textId="40765C15" w:rsidR="00E776AA" w:rsidRPr="009B5834" w:rsidRDefault="00021C22" w:rsidP="00A0471C">
      <w:pPr>
        <w:spacing w:line="240" w:lineRule="auto"/>
        <w:rPr>
          <w:rFonts w:ascii="Tahoma" w:hAnsi="Tahoma" w:cs="Tahoma"/>
          <w:sz w:val="18"/>
          <w:szCs w:val="18"/>
        </w:rPr>
      </w:pPr>
      <w:r w:rsidRPr="009B5834">
        <w:rPr>
          <w:rFonts w:ascii="Tahoma" w:hAnsi="Tahoma" w:cs="Tahoma"/>
          <w:i/>
          <w:iCs/>
          <w:sz w:val="18"/>
          <w:szCs w:val="18"/>
        </w:rPr>
        <w:t>Unconscious Bias</w:t>
      </w:r>
      <w:r w:rsidR="00BE699C" w:rsidRPr="009B5834">
        <w:rPr>
          <w:rFonts w:ascii="Tahoma" w:hAnsi="Tahoma" w:cs="Tahoma"/>
          <w:sz w:val="18"/>
          <w:szCs w:val="18"/>
        </w:rPr>
        <w:t xml:space="preserve"> – Social stereotypes about certain groups of people that individuals form outside their own conscious awareness; Implicit bias</w:t>
      </w:r>
      <w:r w:rsidR="00E776AA" w:rsidRPr="009B5834">
        <w:rPr>
          <w:rFonts w:ascii="Tahoma" w:hAnsi="Tahoma" w:cs="Tahoma"/>
          <w:b/>
          <w:bCs/>
        </w:rPr>
        <w:br/>
        <w:t>W</w:t>
      </w:r>
    </w:p>
    <w:p w14:paraId="6DA2FB3D" w14:textId="0D6E4E42" w:rsidR="00021C22" w:rsidRPr="009B5834" w:rsidRDefault="00021C22" w:rsidP="00A0471C">
      <w:pPr>
        <w:spacing w:line="240" w:lineRule="auto"/>
        <w:rPr>
          <w:rFonts w:ascii="Tahoma" w:hAnsi="Tahoma" w:cs="Tahoma"/>
          <w:sz w:val="18"/>
          <w:szCs w:val="18"/>
        </w:rPr>
      </w:pPr>
      <w:r w:rsidRPr="009B5834">
        <w:rPr>
          <w:rFonts w:ascii="Tahoma" w:hAnsi="Tahoma" w:cs="Tahoma"/>
          <w:i/>
          <w:iCs/>
          <w:sz w:val="18"/>
          <w:szCs w:val="18"/>
        </w:rPr>
        <w:t xml:space="preserve">White Supremacy </w:t>
      </w:r>
      <w:r w:rsidR="003A7CBC" w:rsidRPr="009B5834">
        <w:rPr>
          <w:rFonts w:ascii="Tahoma" w:hAnsi="Tahoma" w:cs="Tahoma"/>
          <w:i/>
          <w:iCs/>
          <w:sz w:val="18"/>
          <w:szCs w:val="18"/>
        </w:rPr>
        <w:t xml:space="preserve">– </w:t>
      </w:r>
      <w:r w:rsidR="003A7CBC" w:rsidRPr="009B5834">
        <w:rPr>
          <w:rFonts w:ascii="Tahoma" w:hAnsi="Tahoma" w:cs="Tahoma"/>
          <w:sz w:val="18"/>
          <w:szCs w:val="18"/>
        </w:rPr>
        <w:t xml:space="preserve">The idea (ideology) that white people and the ideas, thoughts, beliefs, and actions of white people are superior to People of Color and their ideas, thoughts, beliefs, and actions. </w:t>
      </w:r>
    </w:p>
    <w:p w14:paraId="4CFC2B86" w14:textId="5AEB4B87" w:rsidR="00E776AA" w:rsidRPr="009B5834" w:rsidRDefault="00E776AA" w:rsidP="00A0471C">
      <w:pPr>
        <w:spacing w:line="240" w:lineRule="auto"/>
        <w:rPr>
          <w:rFonts w:ascii="Tahoma" w:hAnsi="Tahoma" w:cs="Tahoma"/>
          <w:b/>
          <w:bCs/>
        </w:rPr>
      </w:pPr>
      <w:r w:rsidRPr="009B5834">
        <w:rPr>
          <w:rFonts w:ascii="Tahoma" w:hAnsi="Tahoma" w:cs="Tahoma"/>
          <w:b/>
          <w:bCs/>
        </w:rPr>
        <w:t>X</w:t>
      </w:r>
    </w:p>
    <w:p w14:paraId="65E9331D" w14:textId="2D0A0F47" w:rsidR="009B5834" w:rsidRDefault="00021C22" w:rsidP="00A0471C">
      <w:pPr>
        <w:spacing w:line="240" w:lineRule="auto"/>
        <w:rPr>
          <w:rFonts w:ascii="Tahoma" w:hAnsi="Tahoma" w:cs="Tahoma"/>
          <w:sz w:val="18"/>
          <w:szCs w:val="18"/>
        </w:rPr>
      </w:pPr>
      <w:r w:rsidRPr="009B5834">
        <w:rPr>
          <w:rFonts w:ascii="Tahoma" w:hAnsi="Tahoma" w:cs="Tahoma"/>
          <w:i/>
          <w:iCs/>
          <w:sz w:val="18"/>
          <w:szCs w:val="18"/>
        </w:rPr>
        <w:t xml:space="preserve">Xenophobia </w:t>
      </w:r>
      <w:r w:rsidR="003A7CBC" w:rsidRPr="009B5834">
        <w:rPr>
          <w:rFonts w:ascii="Tahoma" w:hAnsi="Tahoma" w:cs="Tahoma"/>
          <w:i/>
          <w:iCs/>
          <w:sz w:val="18"/>
          <w:szCs w:val="18"/>
        </w:rPr>
        <w:t xml:space="preserve">– </w:t>
      </w:r>
      <w:r w:rsidR="003A7CBC" w:rsidRPr="009B5834">
        <w:rPr>
          <w:rFonts w:ascii="Tahoma" w:hAnsi="Tahoma" w:cs="Tahoma"/>
          <w:sz w:val="18"/>
          <w:szCs w:val="18"/>
        </w:rPr>
        <w:t>Hatred or fear of foreigners/strangers or of their politics or culture</w:t>
      </w:r>
    </w:p>
    <w:p w14:paraId="3A71FA52" w14:textId="73914187" w:rsidR="007C1EF8" w:rsidRPr="009B5834" w:rsidRDefault="007C1EF8" w:rsidP="009B5834">
      <w:pPr>
        <w:spacing w:after="0" w:line="240" w:lineRule="auto"/>
        <w:rPr>
          <w:rFonts w:ascii="Tahoma" w:hAnsi="Tahoma" w:cs="Tahoma"/>
          <w:sz w:val="16"/>
          <w:szCs w:val="16"/>
        </w:rPr>
      </w:pPr>
      <w:r w:rsidRPr="009B5834">
        <w:rPr>
          <w:rFonts w:ascii="Tahoma" w:hAnsi="Tahoma" w:cs="Tahoma"/>
          <w:b/>
          <w:bCs/>
          <w:sz w:val="16"/>
          <w:szCs w:val="16"/>
          <w:u w:val="single"/>
        </w:rPr>
        <w:t>Sources</w:t>
      </w:r>
      <w:r w:rsidRPr="009B5834">
        <w:rPr>
          <w:rFonts w:ascii="Tahoma" w:hAnsi="Tahoma" w:cs="Tahoma"/>
          <w:sz w:val="16"/>
          <w:szCs w:val="16"/>
        </w:rPr>
        <w:t xml:space="preserve">: </w:t>
      </w:r>
    </w:p>
    <w:p w14:paraId="6D999D9D" w14:textId="5DC46A1D" w:rsidR="007C1EF8" w:rsidRPr="009B5834" w:rsidRDefault="00513A37" w:rsidP="009B5834">
      <w:pPr>
        <w:spacing w:after="0" w:line="240" w:lineRule="auto"/>
        <w:rPr>
          <w:rFonts w:ascii="Tahoma" w:hAnsi="Tahoma" w:cs="Tahoma"/>
          <w:sz w:val="16"/>
          <w:szCs w:val="16"/>
        </w:rPr>
      </w:pPr>
      <w:hyperlink r:id="rId8" w:history="1">
        <w:r w:rsidR="007C1EF8" w:rsidRPr="009B5834">
          <w:rPr>
            <w:rStyle w:val="Hyperlink"/>
            <w:rFonts w:ascii="Tahoma" w:hAnsi="Tahoma" w:cs="Tahoma"/>
            <w:sz w:val="16"/>
            <w:szCs w:val="16"/>
          </w:rPr>
          <w:t>https://www.racialequitytools.org/glossary</w:t>
        </w:r>
      </w:hyperlink>
    </w:p>
    <w:p w14:paraId="439097F9" w14:textId="07038B6E" w:rsidR="007C1EF8" w:rsidRPr="009B5834" w:rsidRDefault="00513A37" w:rsidP="009B5834">
      <w:pPr>
        <w:spacing w:after="0" w:line="240" w:lineRule="auto"/>
        <w:rPr>
          <w:rFonts w:ascii="Tahoma" w:hAnsi="Tahoma" w:cs="Tahoma"/>
          <w:sz w:val="16"/>
          <w:szCs w:val="16"/>
        </w:rPr>
      </w:pPr>
      <w:hyperlink r:id="rId9" w:history="1">
        <w:r w:rsidR="007C1EF8" w:rsidRPr="009B5834">
          <w:rPr>
            <w:rStyle w:val="Hyperlink"/>
            <w:rFonts w:ascii="Tahoma" w:hAnsi="Tahoma" w:cs="Tahoma"/>
            <w:sz w:val="16"/>
            <w:szCs w:val="16"/>
          </w:rPr>
          <w:t>https://www.diversity.pitt.edu/DEIGlossary</w:t>
        </w:r>
      </w:hyperlink>
    </w:p>
    <w:p w14:paraId="2E2DF542" w14:textId="6AE1A038" w:rsidR="007C1EF8" w:rsidRPr="009B5834" w:rsidRDefault="00513A37" w:rsidP="009B5834">
      <w:pPr>
        <w:spacing w:after="0" w:line="240" w:lineRule="auto"/>
        <w:rPr>
          <w:rFonts w:ascii="Tahoma" w:hAnsi="Tahoma" w:cs="Tahoma"/>
          <w:sz w:val="16"/>
          <w:szCs w:val="16"/>
        </w:rPr>
      </w:pPr>
      <w:hyperlink r:id="rId10" w:history="1">
        <w:r w:rsidR="007C1EF8" w:rsidRPr="009B5834">
          <w:rPr>
            <w:rStyle w:val="Hyperlink"/>
            <w:rFonts w:ascii="Tahoma" w:hAnsi="Tahoma" w:cs="Tahoma"/>
            <w:sz w:val="16"/>
            <w:szCs w:val="16"/>
          </w:rPr>
          <w:t>https://www.pacificu.edu/life-pacific/support-safety/office-equity-diversity-inclusion/edi-resources/glossary-terms</w:t>
        </w:r>
      </w:hyperlink>
    </w:p>
    <w:p w14:paraId="3000BCD2" w14:textId="56257D18" w:rsidR="007C1EF8" w:rsidRPr="009B5834" w:rsidRDefault="007C1EF8" w:rsidP="009B5834">
      <w:pPr>
        <w:spacing w:after="0" w:line="240" w:lineRule="auto"/>
        <w:rPr>
          <w:rFonts w:ascii="Tahoma" w:hAnsi="Tahoma" w:cs="Tahoma"/>
          <w:sz w:val="16"/>
          <w:szCs w:val="16"/>
        </w:rPr>
      </w:pPr>
      <w:r w:rsidRPr="009B5834">
        <w:rPr>
          <w:rFonts w:ascii="Tahoma" w:hAnsi="Tahoma" w:cs="Tahoma"/>
          <w:sz w:val="16"/>
          <w:szCs w:val="16"/>
        </w:rPr>
        <w:t>Columbian Financial Group DEI Glossary</w:t>
      </w:r>
    </w:p>
    <w:sectPr w:rsidR="007C1EF8" w:rsidRPr="009B5834" w:rsidSect="005A43C1">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72E9" w14:textId="77777777" w:rsidR="00513A37" w:rsidRDefault="00513A37" w:rsidP="00ED106F">
      <w:pPr>
        <w:spacing w:after="0" w:line="240" w:lineRule="auto"/>
      </w:pPr>
      <w:r>
        <w:separator/>
      </w:r>
    </w:p>
  </w:endnote>
  <w:endnote w:type="continuationSeparator" w:id="0">
    <w:p w14:paraId="67B99A17" w14:textId="77777777" w:rsidR="00513A37" w:rsidRDefault="00513A37" w:rsidP="00ED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937734"/>
      <w:docPartObj>
        <w:docPartGallery w:val="Page Numbers (Bottom of Page)"/>
        <w:docPartUnique/>
      </w:docPartObj>
    </w:sdtPr>
    <w:sdtEndPr/>
    <w:sdtContent>
      <w:p w14:paraId="293585E6" w14:textId="1DE8F84E" w:rsidR="00ED106F" w:rsidRDefault="00ED106F">
        <w:pPr>
          <w:pStyle w:val="Footer"/>
        </w:pPr>
        <w:r>
          <w:rPr>
            <w:noProof/>
          </w:rPr>
          <mc:AlternateContent>
            <mc:Choice Requires="wps">
              <w:drawing>
                <wp:anchor distT="0" distB="0" distL="114300" distR="114300" simplePos="0" relativeHeight="251659264" behindDoc="0" locked="0" layoutInCell="1" allowOverlap="1" wp14:anchorId="7FC1FBA2" wp14:editId="6A0BAAC4">
                  <wp:simplePos x="0" y="0"/>
                  <wp:positionH relativeFrom="page">
                    <wp:align>right</wp:align>
                  </wp:positionH>
                  <wp:positionV relativeFrom="page">
                    <wp:align>bottom</wp:align>
                  </wp:positionV>
                  <wp:extent cx="2125980" cy="2054860"/>
                  <wp:effectExtent l="7620" t="0"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F70E2" w14:textId="77777777" w:rsidR="00ED106F" w:rsidRDefault="00ED106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FB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BJBKqfJAIAACEEAAAOAAAAAAAAAAAAAAAAAC4CAABkcnMvZTJvRG9jLnht&#10;bFBLAQItABQABgAIAAAAIQBZJNEH3AAAAAUBAAAPAAAAAAAAAAAAAAAAAH4EAABkcnMvZG93bnJl&#10;di54bWxQSwUGAAAAAAQABADzAAAAhwUAAAAA&#10;" adj="21600" fillcolor="#d2eaf1" stroked="f">
                  <v:textbox>
                    <w:txbxContent>
                      <w:p w14:paraId="4FDF70E2" w14:textId="77777777" w:rsidR="00ED106F" w:rsidRDefault="00ED106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6FF8" w14:textId="77777777" w:rsidR="00513A37" w:rsidRDefault="00513A37" w:rsidP="00ED106F">
      <w:pPr>
        <w:spacing w:after="0" w:line="240" w:lineRule="auto"/>
      </w:pPr>
      <w:r>
        <w:separator/>
      </w:r>
    </w:p>
  </w:footnote>
  <w:footnote w:type="continuationSeparator" w:id="0">
    <w:p w14:paraId="732C29F3" w14:textId="77777777" w:rsidR="00513A37" w:rsidRDefault="00513A37" w:rsidP="00ED1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A"/>
    <w:rsid w:val="00021C22"/>
    <w:rsid w:val="001C7DA3"/>
    <w:rsid w:val="00276BED"/>
    <w:rsid w:val="00345C2C"/>
    <w:rsid w:val="003A7CBC"/>
    <w:rsid w:val="00513A37"/>
    <w:rsid w:val="005A43C1"/>
    <w:rsid w:val="006A0786"/>
    <w:rsid w:val="006C2EB9"/>
    <w:rsid w:val="007C1EF8"/>
    <w:rsid w:val="008879A5"/>
    <w:rsid w:val="00925136"/>
    <w:rsid w:val="009B5834"/>
    <w:rsid w:val="009C4B3D"/>
    <w:rsid w:val="00A0471C"/>
    <w:rsid w:val="00A23B06"/>
    <w:rsid w:val="00A53EA3"/>
    <w:rsid w:val="00A5493E"/>
    <w:rsid w:val="00B42AA0"/>
    <w:rsid w:val="00BE699C"/>
    <w:rsid w:val="00D110CF"/>
    <w:rsid w:val="00D41363"/>
    <w:rsid w:val="00D9126D"/>
    <w:rsid w:val="00E776AA"/>
    <w:rsid w:val="00E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C537"/>
  <w15:chartTrackingRefBased/>
  <w15:docId w15:val="{3C34F747-C419-44CA-8ED0-E706565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06F"/>
  </w:style>
  <w:style w:type="paragraph" w:styleId="Footer">
    <w:name w:val="footer"/>
    <w:basedOn w:val="Normal"/>
    <w:link w:val="FooterChar"/>
    <w:uiPriority w:val="99"/>
    <w:unhideWhenUsed/>
    <w:rsid w:val="00ED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06F"/>
  </w:style>
  <w:style w:type="character" w:styleId="Hyperlink">
    <w:name w:val="Hyperlink"/>
    <w:basedOn w:val="DefaultParagraphFont"/>
    <w:uiPriority w:val="99"/>
    <w:unhideWhenUsed/>
    <w:rsid w:val="007C1EF8"/>
    <w:rPr>
      <w:color w:val="0563C1" w:themeColor="hyperlink"/>
      <w:u w:val="single"/>
    </w:rPr>
  </w:style>
  <w:style w:type="character" w:styleId="UnresolvedMention">
    <w:name w:val="Unresolved Mention"/>
    <w:basedOn w:val="DefaultParagraphFont"/>
    <w:uiPriority w:val="99"/>
    <w:semiHidden/>
    <w:unhideWhenUsed/>
    <w:rsid w:val="007C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1089">
      <w:bodyDiv w:val="1"/>
      <w:marLeft w:val="0"/>
      <w:marRight w:val="0"/>
      <w:marTop w:val="0"/>
      <w:marBottom w:val="0"/>
      <w:divBdr>
        <w:top w:val="none" w:sz="0" w:space="0" w:color="auto"/>
        <w:left w:val="none" w:sz="0" w:space="0" w:color="auto"/>
        <w:bottom w:val="none" w:sz="0" w:space="0" w:color="auto"/>
        <w:right w:val="none" w:sz="0" w:space="0" w:color="auto"/>
      </w:divBdr>
    </w:div>
    <w:div w:id="813176843">
      <w:bodyDiv w:val="1"/>
      <w:marLeft w:val="0"/>
      <w:marRight w:val="0"/>
      <w:marTop w:val="0"/>
      <w:marBottom w:val="0"/>
      <w:divBdr>
        <w:top w:val="none" w:sz="0" w:space="0" w:color="auto"/>
        <w:left w:val="none" w:sz="0" w:space="0" w:color="auto"/>
        <w:bottom w:val="none" w:sz="0" w:space="0" w:color="auto"/>
        <w:right w:val="none" w:sz="0" w:space="0" w:color="auto"/>
      </w:divBdr>
    </w:div>
    <w:div w:id="1038506676">
      <w:bodyDiv w:val="1"/>
      <w:marLeft w:val="0"/>
      <w:marRight w:val="0"/>
      <w:marTop w:val="0"/>
      <w:marBottom w:val="0"/>
      <w:divBdr>
        <w:top w:val="none" w:sz="0" w:space="0" w:color="auto"/>
        <w:left w:val="none" w:sz="0" w:space="0" w:color="auto"/>
        <w:bottom w:val="none" w:sz="0" w:space="0" w:color="auto"/>
        <w:right w:val="none" w:sz="0" w:space="0" w:color="auto"/>
      </w:divBdr>
    </w:div>
    <w:div w:id="1115056357">
      <w:bodyDiv w:val="1"/>
      <w:marLeft w:val="0"/>
      <w:marRight w:val="0"/>
      <w:marTop w:val="0"/>
      <w:marBottom w:val="0"/>
      <w:divBdr>
        <w:top w:val="none" w:sz="0" w:space="0" w:color="auto"/>
        <w:left w:val="none" w:sz="0" w:space="0" w:color="auto"/>
        <w:bottom w:val="none" w:sz="0" w:space="0" w:color="auto"/>
        <w:right w:val="none" w:sz="0" w:space="0" w:color="auto"/>
      </w:divBdr>
    </w:div>
    <w:div w:id="11243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alequitytools.org/glossary"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pacificu.edu/life-pacific/support-safety/office-equity-diversity-inclusion/edi-resources/glossary-terms" TargetMode="External"/><Relationship Id="rId4" Type="http://schemas.openxmlformats.org/officeDocument/2006/relationships/footnotes" Target="footnotes.xml"/><Relationship Id="rId9" Type="http://schemas.openxmlformats.org/officeDocument/2006/relationships/hyperlink" Target="https://www.diversity.pitt.edu/DE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Williamson</dc:creator>
  <cp:keywords/>
  <dc:description/>
  <cp:lastModifiedBy>Amy Williamson</cp:lastModifiedBy>
  <cp:revision>2</cp:revision>
  <cp:lastPrinted>2021-09-02T16:40:00Z</cp:lastPrinted>
  <dcterms:created xsi:type="dcterms:W3CDTF">2021-09-02T17:22:00Z</dcterms:created>
  <dcterms:modified xsi:type="dcterms:W3CDTF">2021-09-02T17:22:00Z</dcterms:modified>
</cp:coreProperties>
</file>